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36" w:rsidRPr="0021136A" w:rsidRDefault="006A7136" w:rsidP="00265ED6">
      <w:pPr>
        <w:pStyle w:val="a9"/>
        <w:wordWrap w:val="0"/>
        <w:spacing w:line="432" w:lineRule="auto"/>
        <w:jc w:val="center"/>
        <w:rPr>
          <w:rStyle w:val="ab"/>
          <w:rFonts w:asciiTheme="minorEastAsia" w:eastAsiaTheme="minorEastAsia" w:hAnsiTheme="minorEastAsia"/>
          <w:sz w:val="36"/>
          <w:szCs w:val="36"/>
        </w:rPr>
      </w:pPr>
      <w:r w:rsidRPr="0021136A">
        <w:rPr>
          <w:rStyle w:val="ab"/>
          <w:rFonts w:asciiTheme="minorEastAsia" w:eastAsiaTheme="minorEastAsia" w:hAnsiTheme="minorEastAsia" w:hint="eastAsia"/>
          <w:sz w:val="36"/>
          <w:szCs w:val="36"/>
        </w:rPr>
        <w:t>上海祥祺亚盛大厦</w:t>
      </w:r>
      <w:r w:rsidR="00C521A6">
        <w:rPr>
          <w:rStyle w:val="ab"/>
          <w:rFonts w:asciiTheme="minorEastAsia" w:eastAsiaTheme="minorEastAsia" w:hAnsiTheme="minorEastAsia" w:hint="eastAsia"/>
          <w:sz w:val="36"/>
          <w:szCs w:val="36"/>
        </w:rPr>
        <w:t>外立面提升</w:t>
      </w:r>
      <w:r w:rsidRPr="0021136A">
        <w:rPr>
          <w:rStyle w:val="ab"/>
          <w:rFonts w:asciiTheme="minorEastAsia" w:eastAsiaTheme="minorEastAsia" w:hAnsiTheme="minorEastAsia" w:hint="eastAsia"/>
          <w:sz w:val="36"/>
          <w:szCs w:val="36"/>
        </w:rPr>
        <w:t>改造工程</w:t>
      </w:r>
    </w:p>
    <w:p w:rsidR="00265ED6" w:rsidRPr="00211719" w:rsidRDefault="00265ED6" w:rsidP="00265ED6">
      <w:pPr>
        <w:pStyle w:val="a9"/>
        <w:wordWrap w:val="0"/>
        <w:spacing w:line="432" w:lineRule="auto"/>
        <w:jc w:val="center"/>
        <w:rPr>
          <w:rFonts w:asciiTheme="minorEastAsia" w:eastAsiaTheme="minorEastAsia" w:hAnsiTheme="minorEastAsia"/>
          <w:sz w:val="18"/>
          <w:szCs w:val="18"/>
        </w:rPr>
      </w:pPr>
      <w:r w:rsidRPr="0021136A">
        <w:rPr>
          <w:rStyle w:val="ab"/>
          <w:rFonts w:asciiTheme="minorEastAsia" w:eastAsiaTheme="minorEastAsia" w:hAnsiTheme="minorEastAsia" w:hint="eastAsia"/>
          <w:sz w:val="36"/>
          <w:szCs w:val="36"/>
        </w:rPr>
        <w:t>招标资</w:t>
      </w:r>
      <w:r w:rsidRPr="00211719">
        <w:rPr>
          <w:rStyle w:val="ab"/>
          <w:rFonts w:asciiTheme="minorEastAsia" w:eastAsiaTheme="minorEastAsia" w:hAnsiTheme="minorEastAsia" w:hint="eastAsia"/>
          <w:sz w:val="36"/>
          <w:szCs w:val="36"/>
        </w:rPr>
        <w:t>格预审公告</w:t>
      </w:r>
    </w:p>
    <w:p w:rsidR="006A7136" w:rsidRPr="00211719" w:rsidRDefault="006A7136" w:rsidP="006A7136">
      <w:pPr>
        <w:pStyle w:val="a9"/>
        <w:spacing w:before="0" w:beforeAutospacing="0" w:after="0" w:afterAutospacing="0" w:line="360" w:lineRule="auto"/>
        <w:ind w:firstLineChars="200" w:firstLine="480"/>
        <w:rPr>
          <w:rFonts w:asciiTheme="minorEastAsia" w:eastAsiaTheme="minorEastAsia" w:hAnsiTheme="minorEastAsia"/>
          <w:sz w:val="18"/>
          <w:szCs w:val="18"/>
        </w:rPr>
      </w:pPr>
      <w:r w:rsidRPr="00211719">
        <w:rPr>
          <w:rFonts w:asciiTheme="minorEastAsia" w:eastAsiaTheme="minorEastAsia" w:hAnsiTheme="minorEastAsia" w:hint="eastAsia"/>
        </w:rPr>
        <w:t>本项目位于上海市。为发挥投资效益，确保项目按质按量按时完成，拟采用邀请招标的方式选定</w:t>
      </w:r>
      <w:r w:rsidR="00C521A6" w:rsidRPr="00211719">
        <w:rPr>
          <w:rFonts w:asciiTheme="minorEastAsia" w:eastAsiaTheme="minorEastAsia" w:hAnsiTheme="minorEastAsia" w:hint="eastAsia"/>
          <w:b/>
          <w:bCs/>
        </w:rPr>
        <w:t>外立面提升</w:t>
      </w:r>
      <w:r w:rsidR="0021136A" w:rsidRPr="00211719">
        <w:rPr>
          <w:rFonts w:asciiTheme="minorEastAsia" w:eastAsiaTheme="minorEastAsia" w:hAnsiTheme="minorEastAsia" w:hint="eastAsia"/>
          <w:b/>
          <w:bCs/>
        </w:rPr>
        <w:t>改造</w:t>
      </w:r>
      <w:r w:rsidR="0003695B" w:rsidRPr="00211719">
        <w:rPr>
          <w:rFonts w:asciiTheme="minorEastAsia" w:eastAsiaTheme="minorEastAsia" w:hAnsiTheme="minorEastAsia" w:hint="eastAsia"/>
          <w:b/>
          <w:bCs/>
        </w:rPr>
        <w:t>工程</w:t>
      </w:r>
      <w:r w:rsidR="0021136A" w:rsidRPr="00211719">
        <w:rPr>
          <w:rFonts w:asciiTheme="minorEastAsia" w:eastAsiaTheme="minorEastAsia" w:hAnsiTheme="minorEastAsia" w:hint="eastAsia"/>
          <w:b/>
          <w:bCs/>
        </w:rPr>
        <w:t>施工</w:t>
      </w:r>
      <w:r w:rsidRPr="00211719">
        <w:rPr>
          <w:rFonts w:asciiTheme="minorEastAsia" w:eastAsiaTheme="minorEastAsia" w:hAnsiTheme="minorEastAsia" w:hint="eastAsia"/>
          <w:b/>
          <w:bCs/>
        </w:rPr>
        <w:t>单位</w:t>
      </w:r>
      <w:r w:rsidRPr="00211719">
        <w:rPr>
          <w:rFonts w:asciiTheme="minorEastAsia" w:eastAsiaTheme="minorEastAsia" w:hAnsiTheme="minorEastAsia" w:hint="eastAsia"/>
        </w:rPr>
        <w:t>。</w:t>
      </w:r>
      <w:proofErr w:type="gramStart"/>
      <w:r w:rsidR="009814B1" w:rsidRPr="00211719">
        <w:rPr>
          <w:rFonts w:hint="eastAsia"/>
          <w:color w:val="333333"/>
        </w:rPr>
        <w:t>现邀请</w:t>
      </w:r>
      <w:proofErr w:type="gramEnd"/>
      <w:r w:rsidR="009814B1" w:rsidRPr="00211719">
        <w:rPr>
          <w:rFonts w:hint="eastAsia"/>
          <w:color w:val="333333"/>
        </w:rPr>
        <w:t>符合投标人资格要求的单位报名</w:t>
      </w:r>
      <w:r w:rsidR="009814B1" w:rsidRPr="00211719">
        <w:rPr>
          <w:rFonts w:asciiTheme="minorEastAsia" w:eastAsiaTheme="minorEastAsia" w:hAnsiTheme="minorEastAsia" w:hint="eastAsia"/>
        </w:rPr>
        <w:t>，经资格预审合格后，参与本项目的投标。</w:t>
      </w:r>
      <w:r w:rsidRPr="00211719">
        <w:rPr>
          <w:rFonts w:asciiTheme="minorEastAsia" w:eastAsiaTheme="minorEastAsia" w:hAnsiTheme="minorEastAsia" w:hint="eastAsia"/>
        </w:rPr>
        <w:t>招标范围及其它有关事宜说明如下：</w:t>
      </w:r>
    </w:p>
    <w:p w:rsidR="00445003" w:rsidRPr="00211719" w:rsidRDefault="00445003" w:rsidP="00445003">
      <w:pPr>
        <w:pStyle w:val="a9"/>
        <w:numPr>
          <w:ilvl w:val="0"/>
          <w:numId w:val="6"/>
        </w:numPr>
        <w:spacing w:beforeLines="50" w:before="156" w:beforeAutospacing="0" w:after="0" w:afterAutospacing="0" w:line="360" w:lineRule="auto"/>
        <w:rPr>
          <w:rStyle w:val="ab"/>
        </w:rPr>
      </w:pPr>
      <w:r w:rsidRPr="00211719">
        <w:rPr>
          <w:rStyle w:val="ab"/>
          <w:rFonts w:hint="eastAsia"/>
        </w:rPr>
        <w:t>招标</w:t>
      </w:r>
      <w:r w:rsidRPr="00211719">
        <w:rPr>
          <w:rStyle w:val="ab"/>
          <w:rFonts w:asciiTheme="minorEastAsia" w:eastAsiaTheme="minorEastAsia" w:hAnsiTheme="minorEastAsia" w:hint="eastAsia"/>
        </w:rPr>
        <w:t>项目概况</w:t>
      </w:r>
    </w:p>
    <w:p w:rsidR="006C1E10" w:rsidRPr="0021136A" w:rsidRDefault="006A7136" w:rsidP="00445003">
      <w:pPr>
        <w:spacing w:line="360" w:lineRule="auto"/>
        <w:ind w:firstLineChars="200" w:firstLine="480"/>
        <w:rPr>
          <w:rFonts w:ascii="宋体" w:hAnsi="宋体"/>
          <w:sz w:val="24"/>
        </w:rPr>
      </w:pPr>
      <w:r w:rsidRPr="00211719">
        <w:rPr>
          <w:rFonts w:ascii="宋体" w:hAnsi="宋体" w:hint="eastAsia"/>
          <w:sz w:val="24"/>
        </w:rPr>
        <w:t>本项目位于上海市静安区江宁路188号，项目地段位置优越，交通便利，紧邻南京西路商业圈</w:t>
      </w:r>
      <w:r w:rsidR="00C05F3A" w:rsidRPr="00211719">
        <w:rPr>
          <w:rFonts w:ascii="宋体" w:hAnsi="宋体" w:hint="eastAsia"/>
          <w:sz w:val="24"/>
        </w:rPr>
        <w:t>，与恒隆广场、中信泰富广场、梅龙镇广场三大顶级商业广场一街之隔</w:t>
      </w:r>
      <w:r w:rsidRPr="00211719">
        <w:rPr>
          <w:rFonts w:ascii="宋体" w:hAnsi="宋体" w:hint="eastAsia"/>
          <w:sz w:val="24"/>
        </w:rPr>
        <w:t>。</w:t>
      </w:r>
      <w:r w:rsidR="00C05F3A" w:rsidRPr="00211719">
        <w:rPr>
          <w:rFonts w:ascii="宋体" w:hAnsi="宋体" w:hint="eastAsia"/>
          <w:sz w:val="24"/>
        </w:rPr>
        <w:t>大厦于2000年竣工，现提升大厦外立面形象。</w:t>
      </w:r>
      <w:r w:rsidR="006C1E10" w:rsidRPr="00211719">
        <w:rPr>
          <w:rFonts w:ascii="宋体" w:hAnsi="宋体" w:hint="eastAsia"/>
          <w:sz w:val="24"/>
        </w:rPr>
        <w:t>本项目</w:t>
      </w:r>
      <w:r w:rsidR="00445003" w:rsidRPr="00211719">
        <w:rPr>
          <w:rFonts w:ascii="宋体" w:hAnsi="宋体" w:hint="eastAsia"/>
          <w:sz w:val="24"/>
        </w:rPr>
        <w:t>总建筑面积约20000㎡，帷幕面积约</w:t>
      </w:r>
      <w:r w:rsidR="00327808" w:rsidRPr="00211719">
        <w:rPr>
          <w:rFonts w:ascii="宋体" w:hAnsi="宋体" w:hint="eastAsia"/>
          <w:sz w:val="24"/>
        </w:rPr>
        <w:t>10000</w:t>
      </w:r>
      <w:r w:rsidR="00445003" w:rsidRPr="00211719">
        <w:rPr>
          <w:rFonts w:ascii="宋体" w:hAnsi="宋体" w:hint="eastAsia"/>
          <w:sz w:val="24"/>
        </w:rPr>
        <w:t>㎡</w:t>
      </w:r>
      <w:r w:rsidR="007021F1" w:rsidRPr="00211719">
        <w:rPr>
          <w:rFonts w:ascii="宋体" w:hAnsi="宋体" w:hint="eastAsia"/>
          <w:sz w:val="24"/>
        </w:rPr>
        <w:t>，地下3层、地上16层、裙房5层，原建筑高度</w:t>
      </w:r>
      <w:r w:rsidR="00233E3B" w:rsidRPr="00211719">
        <w:rPr>
          <w:rFonts w:ascii="宋体" w:hAnsi="宋体" w:hint="eastAsia"/>
          <w:sz w:val="24"/>
        </w:rPr>
        <w:t>小于100m</w:t>
      </w:r>
      <w:r w:rsidR="00445003" w:rsidRPr="00211719">
        <w:rPr>
          <w:rFonts w:ascii="宋体" w:hAnsi="宋体" w:hint="eastAsia"/>
          <w:sz w:val="24"/>
        </w:rPr>
        <w:t>。</w:t>
      </w:r>
      <w:r w:rsidR="00532054" w:rsidRPr="00211719">
        <w:rPr>
          <w:rFonts w:ascii="宋体" w:hAnsi="宋体" w:hint="eastAsia"/>
          <w:sz w:val="24"/>
        </w:rPr>
        <w:t>拟改造效果图见附件。</w:t>
      </w:r>
    </w:p>
    <w:p w:rsidR="00C05F3A" w:rsidRDefault="00C05F3A" w:rsidP="00C05F3A">
      <w:pPr>
        <w:spacing w:line="360" w:lineRule="auto"/>
        <w:ind w:firstLineChars="200" w:firstLine="480"/>
        <w:jc w:val="left"/>
        <w:rPr>
          <w:rFonts w:asciiTheme="minorEastAsia" w:eastAsiaTheme="minorEastAsia" w:hAnsiTheme="minorEastAsia"/>
          <w:bCs/>
          <w:sz w:val="24"/>
          <w:szCs w:val="24"/>
        </w:rPr>
      </w:pPr>
      <w:r w:rsidRPr="00B260B8">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、招标方式：邀请招标</w:t>
      </w:r>
      <w:r w:rsidRPr="00B260B8">
        <w:rPr>
          <w:rFonts w:asciiTheme="minorEastAsia" w:eastAsiaTheme="minorEastAsia" w:hAnsiTheme="minorEastAsia" w:hint="eastAsia"/>
          <w:bCs/>
          <w:sz w:val="24"/>
          <w:szCs w:val="24"/>
        </w:rPr>
        <w:t>。</w:t>
      </w:r>
    </w:p>
    <w:p w:rsidR="00C05F3A" w:rsidRPr="00C05F3A" w:rsidRDefault="00C05F3A" w:rsidP="00C05F3A">
      <w:pPr>
        <w:spacing w:line="360" w:lineRule="auto"/>
        <w:ind w:firstLineChars="200" w:firstLine="480"/>
        <w:jc w:val="left"/>
        <w:rPr>
          <w:rFonts w:asciiTheme="minorEastAsia" w:eastAsiaTheme="minorEastAsia" w:hAnsiTheme="minorEastAsia"/>
          <w:bCs/>
          <w:sz w:val="24"/>
          <w:szCs w:val="24"/>
        </w:rPr>
      </w:pPr>
      <w:r w:rsidRPr="00C05F3A">
        <w:rPr>
          <w:rFonts w:asciiTheme="minorEastAsia" w:eastAsiaTheme="minorEastAsia" w:hAnsiTheme="minorEastAsia" w:hint="eastAsia"/>
          <w:bCs/>
          <w:sz w:val="24"/>
          <w:szCs w:val="24"/>
        </w:rPr>
        <w:t>2、招标范围：</w:t>
      </w:r>
      <w:r w:rsidRPr="00C05F3A">
        <w:rPr>
          <w:rFonts w:ascii="宋体" w:hAnsi="宋体" w:cs="宋体" w:hint="eastAsia"/>
          <w:kern w:val="0"/>
          <w:sz w:val="24"/>
          <w:szCs w:val="24"/>
        </w:rPr>
        <w:t>上海祥祺亚盛大厦</w:t>
      </w:r>
      <w:r w:rsidR="00C521A6">
        <w:rPr>
          <w:rFonts w:ascii="宋体" w:hAnsi="宋体" w:cs="宋体" w:hint="eastAsia"/>
          <w:kern w:val="0"/>
          <w:sz w:val="24"/>
          <w:szCs w:val="24"/>
        </w:rPr>
        <w:t>外立面提升</w:t>
      </w:r>
      <w:r w:rsidRPr="00C05F3A">
        <w:rPr>
          <w:rFonts w:ascii="宋体" w:hAnsi="宋体" w:cs="宋体" w:hint="eastAsia"/>
          <w:kern w:val="0"/>
          <w:sz w:val="24"/>
          <w:szCs w:val="24"/>
        </w:rPr>
        <w:t>改造工程</w:t>
      </w:r>
      <w:r w:rsidRPr="00C05F3A">
        <w:rPr>
          <w:rFonts w:hint="eastAsia"/>
          <w:sz w:val="24"/>
          <w:szCs w:val="24"/>
        </w:rPr>
        <w:t>的施工、验收、质量保修等，</w:t>
      </w:r>
      <w:r w:rsidRPr="00C05F3A">
        <w:rPr>
          <w:rFonts w:asciiTheme="minorEastAsia" w:eastAsiaTheme="minorEastAsia" w:hAnsiTheme="minorEastAsia" w:hint="eastAsia"/>
          <w:bCs/>
          <w:sz w:val="24"/>
          <w:szCs w:val="24"/>
        </w:rPr>
        <w:t>具体以招标文件为准。</w:t>
      </w:r>
    </w:p>
    <w:p w:rsidR="00265ED6" w:rsidRPr="0021136A" w:rsidRDefault="00265ED6" w:rsidP="0006267C">
      <w:pPr>
        <w:pStyle w:val="a9"/>
        <w:spacing w:before="0" w:beforeAutospacing="0" w:after="0" w:afterAutospacing="0" w:line="360" w:lineRule="auto"/>
        <w:ind w:firstLine="482"/>
        <w:rPr>
          <w:rFonts w:asciiTheme="minorEastAsia" w:eastAsiaTheme="minorEastAsia" w:hAnsiTheme="minorEastAsia"/>
          <w:sz w:val="18"/>
          <w:szCs w:val="18"/>
        </w:rPr>
      </w:pPr>
      <w:r w:rsidRPr="0021136A">
        <w:rPr>
          <w:rStyle w:val="ab"/>
          <w:rFonts w:asciiTheme="minorEastAsia" w:eastAsiaTheme="minorEastAsia" w:hAnsiTheme="minorEastAsia" w:hint="eastAsia"/>
        </w:rPr>
        <w:t>二、投标人资格要求</w:t>
      </w:r>
    </w:p>
    <w:p w:rsidR="0060595A" w:rsidRPr="0021136A" w:rsidRDefault="0060595A" w:rsidP="0006267C">
      <w:pPr>
        <w:spacing w:line="360" w:lineRule="auto"/>
        <w:ind w:firstLineChars="200" w:firstLine="480"/>
        <w:rPr>
          <w:rFonts w:asciiTheme="minorEastAsia" w:eastAsiaTheme="minorEastAsia" w:hAnsiTheme="minorEastAsia"/>
          <w:sz w:val="24"/>
        </w:rPr>
      </w:pPr>
      <w:r w:rsidRPr="0021136A">
        <w:rPr>
          <w:rFonts w:asciiTheme="minorEastAsia" w:eastAsiaTheme="minorEastAsia" w:hAnsiTheme="minorEastAsia" w:hint="eastAsia"/>
          <w:sz w:val="24"/>
        </w:rPr>
        <w:t>1</w:t>
      </w:r>
      <w:r w:rsidR="00963832" w:rsidRPr="0021136A">
        <w:rPr>
          <w:rFonts w:asciiTheme="minorEastAsia" w:eastAsiaTheme="minorEastAsia" w:hAnsiTheme="minorEastAsia" w:hint="eastAsia"/>
          <w:sz w:val="24"/>
        </w:rPr>
        <w:t>、具有独立法人资格；</w:t>
      </w:r>
    </w:p>
    <w:p w:rsidR="00963832" w:rsidRPr="0021136A" w:rsidRDefault="0060595A" w:rsidP="0006267C">
      <w:pPr>
        <w:spacing w:line="360" w:lineRule="auto"/>
        <w:ind w:firstLineChars="200" w:firstLine="480"/>
        <w:rPr>
          <w:rFonts w:asciiTheme="minorEastAsia" w:eastAsiaTheme="minorEastAsia" w:hAnsiTheme="minorEastAsia"/>
          <w:sz w:val="24"/>
        </w:rPr>
      </w:pPr>
      <w:r w:rsidRPr="0021136A">
        <w:rPr>
          <w:rFonts w:asciiTheme="minorEastAsia" w:eastAsiaTheme="minorEastAsia" w:hAnsiTheme="minorEastAsia" w:hint="eastAsia"/>
          <w:sz w:val="24"/>
        </w:rPr>
        <w:t>2</w:t>
      </w:r>
      <w:r w:rsidR="0003695B">
        <w:rPr>
          <w:rFonts w:asciiTheme="minorEastAsia" w:eastAsiaTheme="minorEastAsia" w:hAnsiTheme="minorEastAsia" w:hint="eastAsia"/>
          <w:sz w:val="24"/>
        </w:rPr>
        <w:t>、</w:t>
      </w:r>
      <w:r w:rsidRPr="0021136A">
        <w:rPr>
          <w:rFonts w:asciiTheme="minorEastAsia" w:eastAsiaTheme="minorEastAsia" w:hAnsiTheme="minorEastAsia" w:hint="eastAsia"/>
          <w:sz w:val="24"/>
        </w:rPr>
        <w:t>具有</w:t>
      </w:r>
      <w:r w:rsidR="006C1E10" w:rsidRPr="0021136A">
        <w:rPr>
          <w:rFonts w:asciiTheme="minorEastAsia" w:eastAsiaTheme="minorEastAsia" w:hAnsiTheme="minorEastAsia"/>
          <w:sz w:val="24"/>
        </w:rPr>
        <w:t>建筑幕墙工程专业承包一级</w:t>
      </w:r>
      <w:r w:rsidR="00DD5573" w:rsidRPr="0021136A">
        <w:rPr>
          <w:rFonts w:asciiTheme="minorEastAsia" w:eastAsiaTheme="minorEastAsia" w:hAnsiTheme="minorEastAsia"/>
          <w:sz w:val="24"/>
        </w:rPr>
        <w:t>资</w:t>
      </w:r>
      <w:r w:rsidR="00DD5573" w:rsidRPr="0021136A">
        <w:rPr>
          <w:rFonts w:ascii="宋体" w:hAnsi="宋体"/>
          <w:sz w:val="24"/>
        </w:rPr>
        <w:t>质</w:t>
      </w:r>
      <w:r w:rsidR="00C05F3A">
        <w:rPr>
          <w:rFonts w:ascii="宋体" w:hAnsi="宋体" w:hint="eastAsia"/>
          <w:sz w:val="24"/>
        </w:rPr>
        <w:t>，</w:t>
      </w:r>
      <w:r w:rsidR="00C05F3A" w:rsidRPr="00F966D3">
        <w:rPr>
          <w:rFonts w:asciiTheme="minorEastAsia" w:eastAsiaTheme="minorEastAsia" w:hAnsiTheme="minorEastAsia" w:hint="eastAsia"/>
          <w:sz w:val="24"/>
        </w:rPr>
        <w:t>具有有效的《安全生产许可证》</w:t>
      </w:r>
      <w:r w:rsidR="00963832" w:rsidRPr="0021136A">
        <w:rPr>
          <w:rFonts w:asciiTheme="minorEastAsia" w:eastAsiaTheme="minorEastAsia" w:hAnsiTheme="minorEastAsia" w:hint="eastAsia"/>
          <w:sz w:val="24"/>
        </w:rPr>
        <w:t>；</w:t>
      </w:r>
    </w:p>
    <w:p w:rsidR="00D1089B" w:rsidRPr="0021136A" w:rsidRDefault="00963832" w:rsidP="00D1089B">
      <w:pPr>
        <w:spacing w:line="360" w:lineRule="auto"/>
        <w:ind w:firstLineChars="200" w:firstLine="480"/>
        <w:rPr>
          <w:rFonts w:ascii="宋体" w:hAnsi="宋体"/>
          <w:sz w:val="24"/>
        </w:rPr>
      </w:pPr>
      <w:r w:rsidRPr="0021136A">
        <w:rPr>
          <w:rFonts w:asciiTheme="minorEastAsia" w:eastAsiaTheme="minorEastAsia" w:hAnsiTheme="minorEastAsia" w:cs="新宋体-18030" w:hint="eastAsia"/>
          <w:sz w:val="24"/>
        </w:rPr>
        <w:t>3、</w:t>
      </w:r>
      <w:r w:rsidR="00D1089B">
        <w:rPr>
          <w:rFonts w:asciiTheme="minorEastAsia" w:eastAsiaTheme="minorEastAsia" w:hAnsiTheme="minorEastAsia" w:cs="新宋体-18030" w:hint="eastAsia"/>
          <w:sz w:val="24"/>
        </w:rPr>
        <w:t>近</w:t>
      </w:r>
      <w:r w:rsidR="00D1089B">
        <w:rPr>
          <w:rFonts w:ascii="宋体" w:hAnsi="宋体" w:hint="eastAsia"/>
          <w:bCs/>
          <w:sz w:val="24"/>
        </w:rPr>
        <w:t>5</w:t>
      </w:r>
      <w:r w:rsidR="00D1089B" w:rsidRPr="0021136A">
        <w:rPr>
          <w:rFonts w:ascii="宋体" w:hAnsi="宋体" w:hint="eastAsia"/>
          <w:bCs/>
          <w:sz w:val="24"/>
        </w:rPr>
        <w:t>年（201</w:t>
      </w:r>
      <w:r w:rsidR="00D1089B">
        <w:rPr>
          <w:rFonts w:ascii="宋体" w:hAnsi="宋体" w:hint="eastAsia"/>
          <w:bCs/>
          <w:sz w:val="24"/>
        </w:rPr>
        <w:t>3年</w:t>
      </w:r>
      <w:r w:rsidR="00D1089B" w:rsidRPr="0021136A">
        <w:rPr>
          <w:rFonts w:ascii="宋体" w:hAnsi="宋体" w:hint="eastAsia"/>
          <w:bCs/>
          <w:sz w:val="24"/>
        </w:rPr>
        <w:t>至</w:t>
      </w:r>
      <w:r w:rsidR="00D1089B" w:rsidRPr="0021136A">
        <w:rPr>
          <w:rFonts w:ascii="宋体" w:hAnsi="宋体" w:hint="eastAsia"/>
          <w:sz w:val="24"/>
        </w:rPr>
        <w:t>今）</w:t>
      </w:r>
      <w:r w:rsidR="00D1089B">
        <w:rPr>
          <w:rFonts w:ascii="宋体" w:hAnsi="宋体" w:hint="eastAsia"/>
          <w:sz w:val="24"/>
        </w:rPr>
        <w:t>至少承接过1</w:t>
      </w:r>
      <w:r w:rsidR="00D1089B" w:rsidRPr="0021136A">
        <w:rPr>
          <w:rFonts w:ascii="宋体" w:hAnsi="宋体" w:hint="eastAsia"/>
          <w:sz w:val="24"/>
        </w:rPr>
        <w:t>个</w:t>
      </w:r>
      <w:r w:rsidR="00882285">
        <w:rPr>
          <w:rFonts w:ascii="宋体" w:hAnsi="宋体" w:hint="eastAsia"/>
          <w:sz w:val="24"/>
        </w:rPr>
        <w:t>上海地区</w:t>
      </w:r>
      <w:r w:rsidR="00C521A6">
        <w:rPr>
          <w:rFonts w:ascii="宋体" w:hAnsi="宋体" w:hint="eastAsia"/>
          <w:sz w:val="24"/>
        </w:rPr>
        <w:t>外立面改造</w:t>
      </w:r>
      <w:r w:rsidR="008A4E75">
        <w:rPr>
          <w:rFonts w:ascii="宋体" w:hAnsi="宋体" w:hint="eastAsia"/>
          <w:sz w:val="24"/>
        </w:rPr>
        <w:t>工程</w:t>
      </w:r>
      <w:r w:rsidR="008633EA">
        <w:rPr>
          <w:rFonts w:ascii="宋体" w:hAnsi="宋体" w:hint="eastAsia"/>
          <w:sz w:val="24"/>
        </w:rPr>
        <w:t>或幕墙工程</w:t>
      </w:r>
      <w:r w:rsidR="00882285">
        <w:rPr>
          <w:rFonts w:ascii="宋体" w:hAnsi="宋体" w:hint="eastAsia"/>
          <w:sz w:val="24"/>
        </w:rPr>
        <w:t>施工</w:t>
      </w:r>
      <w:r w:rsidR="00D1089B" w:rsidRPr="0021136A">
        <w:rPr>
          <w:rFonts w:ascii="宋体" w:hAnsi="宋体" w:hint="eastAsia"/>
          <w:sz w:val="24"/>
        </w:rPr>
        <w:t>项目；</w:t>
      </w:r>
    </w:p>
    <w:p w:rsidR="0060595A" w:rsidRPr="0021136A" w:rsidRDefault="00882285" w:rsidP="00963832">
      <w:pPr>
        <w:spacing w:line="360" w:lineRule="auto"/>
        <w:ind w:firstLineChars="200" w:firstLine="480"/>
        <w:rPr>
          <w:rFonts w:ascii="宋体" w:hAnsi="宋体"/>
          <w:sz w:val="24"/>
        </w:rPr>
      </w:pPr>
      <w:r>
        <w:rPr>
          <w:rFonts w:ascii="宋体" w:hAnsi="宋体" w:hint="eastAsia"/>
          <w:bCs/>
          <w:sz w:val="24"/>
        </w:rPr>
        <w:t>4、</w:t>
      </w:r>
      <w:r w:rsidR="00DD5573" w:rsidRPr="0021136A">
        <w:rPr>
          <w:rFonts w:ascii="宋体" w:hAnsi="宋体" w:hint="eastAsia"/>
          <w:bCs/>
          <w:sz w:val="24"/>
        </w:rPr>
        <w:t>近</w:t>
      </w:r>
      <w:r w:rsidR="006C1E10" w:rsidRPr="0021136A">
        <w:rPr>
          <w:rFonts w:ascii="宋体" w:hAnsi="宋体" w:hint="eastAsia"/>
          <w:bCs/>
          <w:sz w:val="24"/>
        </w:rPr>
        <w:t>3</w:t>
      </w:r>
      <w:r w:rsidR="00963832" w:rsidRPr="0021136A">
        <w:rPr>
          <w:rFonts w:ascii="宋体" w:hAnsi="宋体" w:hint="eastAsia"/>
          <w:bCs/>
          <w:sz w:val="24"/>
        </w:rPr>
        <w:t>年（</w:t>
      </w:r>
      <w:r w:rsidR="006C1E10" w:rsidRPr="0021136A">
        <w:rPr>
          <w:rFonts w:ascii="宋体" w:hAnsi="宋体" w:hint="eastAsia"/>
          <w:bCs/>
          <w:sz w:val="24"/>
        </w:rPr>
        <w:t>201</w:t>
      </w:r>
      <w:r w:rsidR="00C05F3A">
        <w:rPr>
          <w:rFonts w:ascii="宋体" w:hAnsi="宋体" w:hint="eastAsia"/>
          <w:bCs/>
          <w:sz w:val="24"/>
        </w:rPr>
        <w:t>5</w:t>
      </w:r>
      <w:r w:rsidR="0003695B">
        <w:rPr>
          <w:rFonts w:ascii="宋体" w:hAnsi="宋体" w:hint="eastAsia"/>
          <w:bCs/>
          <w:sz w:val="24"/>
        </w:rPr>
        <w:t>年</w:t>
      </w:r>
      <w:r w:rsidR="00DD5573" w:rsidRPr="0021136A">
        <w:rPr>
          <w:rFonts w:ascii="宋体" w:hAnsi="宋体" w:hint="eastAsia"/>
          <w:bCs/>
          <w:sz w:val="24"/>
        </w:rPr>
        <w:t>至</w:t>
      </w:r>
      <w:r w:rsidR="00DD5573" w:rsidRPr="0021136A">
        <w:rPr>
          <w:rFonts w:ascii="宋体" w:hAnsi="宋体" w:hint="eastAsia"/>
          <w:sz w:val="24"/>
        </w:rPr>
        <w:t>今</w:t>
      </w:r>
      <w:r w:rsidR="00963832" w:rsidRPr="0021136A">
        <w:rPr>
          <w:rFonts w:ascii="宋体" w:hAnsi="宋体" w:hint="eastAsia"/>
          <w:sz w:val="24"/>
        </w:rPr>
        <w:t>）至少</w:t>
      </w:r>
      <w:r w:rsidR="00103C75" w:rsidRPr="0021136A">
        <w:rPr>
          <w:rFonts w:ascii="宋体" w:hAnsi="宋体" w:hint="eastAsia"/>
          <w:sz w:val="24"/>
        </w:rPr>
        <w:t>承接</w:t>
      </w:r>
      <w:r w:rsidR="00DD5573" w:rsidRPr="0021136A">
        <w:rPr>
          <w:rFonts w:ascii="宋体" w:hAnsi="宋体" w:hint="eastAsia"/>
          <w:sz w:val="24"/>
        </w:rPr>
        <w:t>3</w:t>
      </w:r>
      <w:r w:rsidR="00963832" w:rsidRPr="0021136A">
        <w:rPr>
          <w:rFonts w:ascii="宋体" w:hAnsi="宋体" w:hint="eastAsia"/>
          <w:sz w:val="24"/>
        </w:rPr>
        <w:t>个</w:t>
      </w:r>
      <w:r w:rsidR="00DD5573" w:rsidRPr="0021136A">
        <w:rPr>
          <w:rFonts w:ascii="宋体" w:hAnsi="宋体" w:hint="eastAsia"/>
          <w:sz w:val="24"/>
        </w:rPr>
        <w:t>同类型、同等规模以上</w:t>
      </w:r>
      <w:r w:rsidR="001C5A94" w:rsidRPr="0021136A">
        <w:rPr>
          <w:rFonts w:ascii="宋体" w:hAnsi="宋体" w:hint="eastAsia"/>
          <w:sz w:val="24"/>
        </w:rPr>
        <w:t>施工</w:t>
      </w:r>
      <w:r w:rsidR="00DD5573" w:rsidRPr="0021136A">
        <w:rPr>
          <w:rFonts w:ascii="宋体" w:hAnsi="宋体" w:hint="eastAsia"/>
          <w:sz w:val="24"/>
        </w:rPr>
        <w:t>项目，</w:t>
      </w:r>
      <w:r w:rsidR="00207FD2" w:rsidRPr="0021136A">
        <w:rPr>
          <w:rFonts w:ascii="宋体" w:hAnsi="宋体" w:hint="eastAsia"/>
          <w:sz w:val="24"/>
        </w:rPr>
        <w:t>且</w:t>
      </w:r>
      <w:r w:rsidR="004071E9" w:rsidRPr="0021136A">
        <w:rPr>
          <w:rFonts w:ascii="宋体" w:hAnsi="宋体" w:hint="eastAsia"/>
          <w:sz w:val="24"/>
        </w:rPr>
        <w:t>施工</w:t>
      </w:r>
      <w:r w:rsidR="00207FD2" w:rsidRPr="0021136A">
        <w:rPr>
          <w:rFonts w:ascii="宋体" w:hAnsi="宋体" w:hint="eastAsia"/>
          <w:sz w:val="24"/>
        </w:rPr>
        <w:t>、质量、进度、企业信誉良好；</w:t>
      </w:r>
    </w:p>
    <w:p w:rsidR="00882285" w:rsidRPr="009C1F0C" w:rsidRDefault="00882285" w:rsidP="00882285">
      <w:pPr>
        <w:spacing w:line="360" w:lineRule="auto"/>
        <w:ind w:firstLineChars="200" w:firstLine="480"/>
        <w:rPr>
          <w:rFonts w:asciiTheme="minorEastAsia" w:eastAsiaTheme="minorEastAsia" w:hAnsiTheme="minorEastAsia" w:cs="新宋体-18030"/>
          <w:color w:val="000000"/>
          <w:sz w:val="24"/>
        </w:rPr>
      </w:pPr>
      <w:r>
        <w:rPr>
          <w:rFonts w:asciiTheme="minorEastAsia" w:eastAsiaTheme="minorEastAsia" w:hAnsiTheme="minorEastAsia" w:hint="eastAsia"/>
          <w:sz w:val="24"/>
        </w:rPr>
        <w:t>5、</w:t>
      </w:r>
      <w:r w:rsidRPr="00F966D3">
        <w:rPr>
          <w:rFonts w:asciiTheme="minorEastAsia" w:eastAsiaTheme="minorEastAsia" w:hAnsiTheme="minorEastAsia" w:hint="eastAsia"/>
          <w:sz w:val="24"/>
        </w:rPr>
        <w:t>具有与本项目匹配的固定</w:t>
      </w:r>
      <w:r w:rsidRPr="00F966D3">
        <w:rPr>
          <w:rFonts w:ascii="宋体" w:hAnsi="宋体" w:hint="eastAsia"/>
          <w:sz w:val="24"/>
        </w:rPr>
        <w:t>项目管理</w:t>
      </w:r>
      <w:r>
        <w:rPr>
          <w:rFonts w:ascii="宋体" w:hAnsi="宋体" w:hint="eastAsia"/>
          <w:sz w:val="24"/>
        </w:rPr>
        <w:t>团队</w:t>
      </w:r>
      <w:r w:rsidRPr="002314BB">
        <w:rPr>
          <w:rFonts w:asciiTheme="minorEastAsia" w:eastAsiaTheme="minorEastAsia" w:hAnsiTheme="minorEastAsia" w:hint="eastAsia"/>
          <w:sz w:val="24"/>
        </w:rPr>
        <w:t>；</w:t>
      </w:r>
    </w:p>
    <w:p w:rsidR="00882285" w:rsidRPr="002314BB" w:rsidRDefault="00882285" w:rsidP="0088228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Pr="002314BB">
        <w:rPr>
          <w:rFonts w:asciiTheme="minorEastAsia" w:eastAsiaTheme="minorEastAsia" w:hAnsiTheme="minorEastAsia" w:hint="eastAsia"/>
          <w:sz w:val="24"/>
        </w:rPr>
        <w:t>、</w:t>
      </w:r>
      <w:r w:rsidRPr="009632B0">
        <w:rPr>
          <w:rFonts w:asciiTheme="minorEastAsia" w:hAnsiTheme="minorEastAsia" w:hint="eastAsia"/>
          <w:sz w:val="24"/>
        </w:rPr>
        <w:t>近三年存在骗取中标、严重违约等不良行为的单位，不得参与本项目的投标；在本项目招标投标期间因不良行为被建设行政主管部门、市场监督管理局禁止投标、暂停承接工程或停止生产的单位不得参与本项目的投标；因违反工程建设法律法规和安全生产管理规定而受到建设行政主管部门红色警示的单位，在红色警示期间，不得参与本项目的投标</w:t>
      </w:r>
      <w:r w:rsidRPr="00052929">
        <w:rPr>
          <w:rFonts w:asciiTheme="minorEastAsia" w:eastAsiaTheme="minorEastAsia" w:hAnsiTheme="minorEastAsia" w:hint="eastAsia"/>
          <w:sz w:val="24"/>
        </w:rPr>
        <w:t>。</w:t>
      </w:r>
    </w:p>
    <w:p w:rsidR="00087AEA" w:rsidRPr="002C515C" w:rsidRDefault="00D25413" w:rsidP="00087AEA">
      <w:pPr>
        <w:pStyle w:val="a9"/>
        <w:spacing w:beforeLines="50" w:before="156" w:beforeAutospacing="0" w:after="0" w:afterAutospacing="0" w:line="360" w:lineRule="auto"/>
        <w:ind w:firstLine="482"/>
        <w:rPr>
          <w:rFonts w:asciiTheme="minorEastAsia" w:eastAsiaTheme="minorEastAsia" w:hAnsiTheme="minorEastAsia"/>
          <w:sz w:val="18"/>
          <w:szCs w:val="18"/>
        </w:rPr>
      </w:pPr>
      <w:r w:rsidRPr="00653DF4">
        <w:rPr>
          <w:rStyle w:val="ab"/>
          <w:rFonts w:asciiTheme="minorEastAsia" w:eastAsiaTheme="minorEastAsia" w:hAnsiTheme="minorEastAsia" w:hint="eastAsia"/>
        </w:rPr>
        <w:lastRenderedPageBreak/>
        <w:t>三</w:t>
      </w:r>
      <w:r w:rsidR="00087AEA" w:rsidRPr="002C515C">
        <w:rPr>
          <w:rStyle w:val="ab"/>
          <w:rFonts w:asciiTheme="minorEastAsia" w:eastAsiaTheme="minorEastAsia" w:hAnsiTheme="minorEastAsia" w:hint="eastAsia"/>
        </w:rPr>
        <w:t>、投标单位提供资料及截止时间</w:t>
      </w:r>
    </w:p>
    <w:p w:rsidR="00087AEA" w:rsidRPr="00653DF4" w:rsidRDefault="00087AEA" w:rsidP="00087AEA">
      <w:pPr>
        <w:pStyle w:val="a9"/>
        <w:spacing w:before="0" w:beforeAutospacing="0" w:after="0" w:afterAutospacing="0" w:line="360" w:lineRule="auto"/>
        <w:ind w:firstLine="482"/>
        <w:rPr>
          <w:rFonts w:asciiTheme="minorEastAsia" w:eastAsiaTheme="minorEastAsia" w:hAnsiTheme="minorEastAsia"/>
          <w:sz w:val="18"/>
          <w:szCs w:val="18"/>
        </w:rPr>
      </w:pPr>
      <w:r w:rsidRPr="00653DF4">
        <w:rPr>
          <w:rFonts w:asciiTheme="minorEastAsia" w:eastAsiaTheme="minorEastAsia" w:hAnsiTheme="minorEastAsia" w:cs="Times New Roman" w:hint="eastAsia"/>
        </w:rPr>
        <w:t>1、</w:t>
      </w:r>
      <w:r w:rsidRPr="00653DF4">
        <w:rPr>
          <w:rFonts w:asciiTheme="minorEastAsia" w:eastAsiaTheme="minorEastAsia" w:hAnsiTheme="minorEastAsia" w:hint="eastAsia"/>
        </w:rPr>
        <w:t>资料要求（提交纸质、复印件加盖公章，原件备查）：营业执照、资质证书、法定代表人身份证明书、授权委托书及联系人</w:t>
      </w:r>
      <w:proofErr w:type="gramStart"/>
      <w:r w:rsidRPr="00653DF4">
        <w:rPr>
          <w:rFonts w:asciiTheme="minorEastAsia" w:eastAsiaTheme="minorEastAsia" w:hAnsiTheme="minorEastAsia" w:hint="eastAsia"/>
        </w:rPr>
        <w:t>社保证明</w:t>
      </w:r>
      <w:proofErr w:type="gramEnd"/>
      <w:r w:rsidRPr="00653DF4">
        <w:rPr>
          <w:rFonts w:asciiTheme="minorEastAsia" w:eastAsiaTheme="minorEastAsia" w:hAnsiTheme="minorEastAsia" w:hint="eastAsia"/>
        </w:rPr>
        <w:t>、类似项目业绩表、合同（至少提供关键页）</w:t>
      </w:r>
      <w:r w:rsidR="00F2698E" w:rsidRPr="00653DF4">
        <w:rPr>
          <w:rFonts w:asciiTheme="minorEastAsia" w:eastAsiaTheme="minorEastAsia" w:hAnsiTheme="minorEastAsia" w:hint="eastAsia"/>
        </w:rPr>
        <w:t>及验收报告</w:t>
      </w:r>
      <w:r w:rsidRPr="00653DF4">
        <w:rPr>
          <w:rFonts w:asciiTheme="minorEastAsia" w:eastAsiaTheme="minorEastAsia" w:hAnsiTheme="minorEastAsia" w:hint="eastAsia"/>
        </w:rPr>
        <w:t>、获奖清单及证书、拟派项目经理</w:t>
      </w:r>
      <w:r w:rsidR="00F2698E" w:rsidRPr="00653DF4">
        <w:rPr>
          <w:rFonts w:asciiTheme="minorEastAsia" w:eastAsiaTheme="minorEastAsia" w:hAnsiTheme="minorEastAsia" w:hint="eastAsia"/>
        </w:rPr>
        <w:t>简历</w:t>
      </w:r>
      <w:r w:rsidR="00233DE2" w:rsidRPr="00653DF4">
        <w:rPr>
          <w:rFonts w:asciiTheme="minorEastAsia" w:eastAsiaTheme="minorEastAsia" w:hAnsiTheme="minorEastAsia" w:hint="eastAsia"/>
        </w:rPr>
        <w:t>（包括</w:t>
      </w:r>
      <w:r w:rsidRPr="00653DF4">
        <w:rPr>
          <w:rFonts w:asciiTheme="minorEastAsia" w:eastAsiaTheme="minorEastAsia" w:hAnsiTheme="minorEastAsia" w:hint="eastAsia"/>
        </w:rPr>
        <w:t>相关证书</w:t>
      </w:r>
      <w:r w:rsidR="00233DE2" w:rsidRPr="00653DF4">
        <w:rPr>
          <w:rFonts w:asciiTheme="minorEastAsia" w:eastAsiaTheme="minorEastAsia" w:hAnsiTheme="minorEastAsia" w:hint="eastAsia"/>
        </w:rPr>
        <w:t>、</w:t>
      </w:r>
      <w:proofErr w:type="gramStart"/>
      <w:r w:rsidRPr="00653DF4">
        <w:rPr>
          <w:rFonts w:asciiTheme="minorEastAsia" w:eastAsiaTheme="minorEastAsia" w:hAnsiTheme="minorEastAsia" w:hint="eastAsia"/>
        </w:rPr>
        <w:t>社保证明</w:t>
      </w:r>
      <w:proofErr w:type="gramEnd"/>
      <w:r w:rsidR="00F2698E" w:rsidRPr="00653DF4">
        <w:rPr>
          <w:rFonts w:asciiTheme="minorEastAsia" w:eastAsiaTheme="minorEastAsia" w:hAnsiTheme="minorEastAsia" w:hint="eastAsia"/>
        </w:rPr>
        <w:t>、</w:t>
      </w:r>
      <w:r w:rsidRPr="00653DF4">
        <w:rPr>
          <w:rFonts w:asciiTheme="minorEastAsia" w:eastAsiaTheme="minorEastAsia" w:hAnsiTheme="minorEastAsia" w:hint="eastAsia"/>
        </w:rPr>
        <w:t>业绩合同</w:t>
      </w:r>
      <w:r w:rsidR="00233DE2" w:rsidRPr="00653DF4">
        <w:rPr>
          <w:rFonts w:asciiTheme="minorEastAsia" w:eastAsiaTheme="minorEastAsia" w:hAnsiTheme="minorEastAsia" w:hint="eastAsia"/>
        </w:rPr>
        <w:t>等）、加工工厂介绍</w:t>
      </w:r>
      <w:r w:rsidRPr="00653DF4">
        <w:rPr>
          <w:rFonts w:asciiTheme="minorEastAsia" w:eastAsiaTheme="minorEastAsia" w:hAnsiTheme="minorEastAsia" w:hint="eastAsia"/>
        </w:rPr>
        <w:t>等。</w:t>
      </w:r>
    </w:p>
    <w:p w:rsidR="00087AEA" w:rsidRPr="00653DF4" w:rsidRDefault="00087AEA" w:rsidP="00087AEA">
      <w:pPr>
        <w:pStyle w:val="a9"/>
        <w:spacing w:before="0" w:beforeAutospacing="0" w:after="0" w:afterAutospacing="0" w:line="360" w:lineRule="auto"/>
        <w:ind w:firstLine="482"/>
        <w:rPr>
          <w:rFonts w:asciiTheme="minorEastAsia" w:eastAsiaTheme="minorEastAsia" w:hAnsiTheme="minorEastAsia"/>
          <w:sz w:val="18"/>
          <w:szCs w:val="18"/>
        </w:rPr>
      </w:pPr>
      <w:r w:rsidRPr="00653DF4">
        <w:rPr>
          <w:rFonts w:asciiTheme="minorEastAsia" w:eastAsiaTheme="minorEastAsia" w:hAnsiTheme="minorEastAsia" w:cs="Times New Roman" w:hint="eastAsia"/>
        </w:rPr>
        <w:t>2、</w:t>
      </w:r>
      <w:r w:rsidRPr="00653DF4">
        <w:rPr>
          <w:rFonts w:asciiTheme="minorEastAsia" w:eastAsiaTheme="minorEastAsia" w:hAnsiTheme="minorEastAsia" w:hint="eastAsia"/>
        </w:rPr>
        <w:t>投标人资格预审报名截止时间：</w:t>
      </w:r>
      <w:r w:rsidRPr="00653DF4">
        <w:rPr>
          <w:rStyle w:val="ab"/>
          <w:rFonts w:asciiTheme="minorEastAsia" w:eastAsiaTheme="minorEastAsia" w:hAnsiTheme="minorEastAsia" w:hint="eastAsia"/>
        </w:rPr>
        <w:t>2018年</w:t>
      </w:r>
      <w:r w:rsidR="00D25413" w:rsidRPr="00653DF4">
        <w:rPr>
          <w:rStyle w:val="ab"/>
          <w:rFonts w:asciiTheme="minorEastAsia" w:eastAsiaTheme="minorEastAsia" w:hAnsiTheme="minorEastAsia" w:hint="eastAsia"/>
        </w:rPr>
        <w:t>11</w:t>
      </w:r>
      <w:r w:rsidRPr="00653DF4">
        <w:rPr>
          <w:rStyle w:val="ab"/>
          <w:rFonts w:asciiTheme="minorEastAsia" w:eastAsiaTheme="minorEastAsia" w:hAnsiTheme="minorEastAsia" w:hint="eastAsia"/>
        </w:rPr>
        <w:t>月</w:t>
      </w:r>
      <w:r w:rsidR="00D25413" w:rsidRPr="00653DF4">
        <w:rPr>
          <w:rStyle w:val="ab"/>
          <w:rFonts w:asciiTheme="minorEastAsia" w:eastAsiaTheme="minorEastAsia" w:hAnsiTheme="minorEastAsia" w:hint="eastAsia"/>
        </w:rPr>
        <w:t>23</w:t>
      </w:r>
      <w:r w:rsidRPr="00653DF4">
        <w:rPr>
          <w:rStyle w:val="ab"/>
          <w:rFonts w:asciiTheme="minorEastAsia" w:eastAsiaTheme="minorEastAsia" w:hAnsiTheme="minorEastAsia" w:hint="eastAsia"/>
        </w:rPr>
        <w:t>日</w:t>
      </w:r>
      <w:r w:rsidRPr="002C515C">
        <w:rPr>
          <w:rStyle w:val="ab"/>
          <w:rFonts w:asciiTheme="minorEastAsia" w:eastAsiaTheme="minorEastAsia" w:hAnsiTheme="minorEastAsia" w:hint="eastAsia"/>
        </w:rPr>
        <w:t>18时；</w:t>
      </w:r>
      <w:r w:rsidRPr="00653DF4">
        <w:rPr>
          <w:rFonts w:asciiTheme="minorEastAsia" w:eastAsiaTheme="minorEastAsia" w:hAnsiTheme="minorEastAsia" w:hint="eastAsia"/>
        </w:rPr>
        <w:t>超过上述截止时间报名的，一律不予受理。</w:t>
      </w:r>
    </w:p>
    <w:p w:rsidR="00087AEA" w:rsidRPr="00653DF4" w:rsidRDefault="00087AEA" w:rsidP="00087AEA">
      <w:pPr>
        <w:pStyle w:val="a9"/>
        <w:spacing w:before="0" w:beforeAutospacing="0" w:after="0" w:afterAutospacing="0" w:line="360" w:lineRule="auto"/>
        <w:ind w:firstLine="482"/>
        <w:rPr>
          <w:rFonts w:asciiTheme="minorEastAsia" w:eastAsiaTheme="minorEastAsia" w:hAnsiTheme="minorEastAsia"/>
        </w:rPr>
      </w:pPr>
      <w:r w:rsidRPr="00653DF4">
        <w:rPr>
          <w:rFonts w:asciiTheme="minorEastAsia" w:eastAsiaTheme="minorEastAsia" w:hAnsiTheme="minorEastAsia" w:hint="eastAsia"/>
        </w:rPr>
        <w:t>3、资料提交地址：深圳市福田区新洲十一街</w:t>
      </w:r>
      <w:r w:rsidRPr="00653DF4">
        <w:rPr>
          <w:rFonts w:asciiTheme="minorEastAsia" w:eastAsiaTheme="minorEastAsia" w:hAnsiTheme="minorEastAsia" w:cs="Times New Roman" w:hint="eastAsia"/>
        </w:rPr>
        <w:t>128</w:t>
      </w:r>
      <w:r w:rsidRPr="00653DF4">
        <w:rPr>
          <w:rFonts w:asciiTheme="minorEastAsia" w:eastAsiaTheme="minorEastAsia" w:hAnsiTheme="minorEastAsia" w:hint="eastAsia"/>
        </w:rPr>
        <w:t>号</w:t>
      </w:r>
      <w:proofErr w:type="gramStart"/>
      <w:r w:rsidRPr="00653DF4">
        <w:rPr>
          <w:rFonts w:asciiTheme="minorEastAsia" w:eastAsiaTheme="minorEastAsia" w:hAnsiTheme="minorEastAsia" w:hint="eastAsia"/>
        </w:rPr>
        <w:t>祥祺</w:t>
      </w:r>
      <w:proofErr w:type="gramEnd"/>
      <w:r w:rsidR="00F2698E" w:rsidRPr="00653DF4">
        <w:rPr>
          <w:rFonts w:asciiTheme="minorEastAsia" w:eastAsiaTheme="minorEastAsia" w:hAnsiTheme="minorEastAsia" w:hint="eastAsia"/>
        </w:rPr>
        <w:t>投资</w:t>
      </w:r>
      <w:r w:rsidRPr="00653DF4">
        <w:rPr>
          <w:rFonts w:asciiTheme="minorEastAsia" w:eastAsiaTheme="minorEastAsia" w:hAnsiTheme="minorEastAsia" w:hint="eastAsia"/>
        </w:rPr>
        <w:t>大厦</w:t>
      </w:r>
      <w:r w:rsidRPr="00653DF4">
        <w:rPr>
          <w:rFonts w:asciiTheme="minorEastAsia" w:eastAsiaTheme="minorEastAsia" w:hAnsiTheme="minorEastAsia" w:cs="Times New Roman" w:hint="eastAsia"/>
        </w:rPr>
        <w:t>27</w:t>
      </w:r>
      <w:r w:rsidRPr="00653DF4">
        <w:rPr>
          <w:rFonts w:asciiTheme="minorEastAsia" w:eastAsiaTheme="minorEastAsia" w:hAnsiTheme="minorEastAsia" w:hint="eastAsia"/>
        </w:rPr>
        <w:t>楼</w:t>
      </w:r>
      <w:r w:rsidRPr="00653DF4">
        <w:rPr>
          <w:rFonts w:asciiTheme="minorEastAsia" w:eastAsiaTheme="minorEastAsia" w:hAnsiTheme="minorEastAsia" w:hint="eastAsia"/>
          <w:sz w:val="18"/>
          <w:szCs w:val="18"/>
        </w:rPr>
        <w:t>，</w:t>
      </w:r>
      <w:r w:rsidRPr="00653DF4">
        <w:rPr>
          <w:rFonts w:asciiTheme="minorEastAsia" w:eastAsiaTheme="minorEastAsia" w:hAnsiTheme="minorEastAsia" w:hint="eastAsia"/>
        </w:rPr>
        <w:t xml:space="preserve">联系人：韦茜 </w:t>
      </w:r>
      <w:r w:rsidR="00103C75" w:rsidRPr="00653DF4">
        <w:rPr>
          <w:rFonts w:asciiTheme="minorEastAsia" w:eastAsiaTheme="minorEastAsia" w:hAnsiTheme="minorEastAsia" w:hint="eastAsia"/>
        </w:rPr>
        <w:t>0755-</w:t>
      </w:r>
      <w:r w:rsidRPr="00653DF4">
        <w:rPr>
          <w:rFonts w:asciiTheme="minorEastAsia" w:eastAsiaTheme="minorEastAsia" w:hAnsiTheme="minorEastAsia" w:hint="eastAsia"/>
        </w:rPr>
        <w:t>83521027、13510081124</w:t>
      </w:r>
      <w:r w:rsidR="00F2698E" w:rsidRPr="00653DF4">
        <w:rPr>
          <w:rFonts w:asciiTheme="minorEastAsia" w:eastAsiaTheme="minorEastAsia" w:hAnsiTheme="minorEastAsia" w:hint="eastAsia"/>
        </w:rPr>
        <w:t>、weiqian@cheungkei.com</w:t>
      </w:r>
      <w:r w:rsidRPr="00653DF4">
        <w:rPr>
          <w:rFonts w:asciiTheme="minorEastAsia" w:eastAsiaTheme="minorEastAsia" w:hAnsiTheme="minorEastAsia" w:hint="eastAsia"/>
        </w:rPr>
        <w:t>。</w:t>
      </w:r>
    </w:p>
    <w:p w:rsidR="00E060D5" w:rsidRPr="00653DF4" w:rsidRDefault="00E060D5" w:rsidP="0060595A">
      <w:pPr>
        <w:pStyle w:val="a9"/>
        <w:spacing w:before="0" w:beforeAutospacing="0" w:after="0" w:afterAutospacing="0" w:line="360" w:lineRule="auto"/>
        <w:ind w:firstLine="482"/>
        <w:rPr>
          <w:rFonts w:asciiTheme="minorEastAsia" w:eastAsiaTheme="minorEastAsia" w:hAnsiTheme="minorEastAsia"/>
        </w:rPr>
      </w:pPr>
    </w:p>
    <w:p w:rsidR="00265ED6" w:rsidRPr="00653DF4" w:rsidRDefault="0060595A" w:rsidP="0060595A">
      <w:pPr>
        <w:pStyle w:val="a9"/>
        <w:spacing w:before="0" w:beforeAutospacing="0" w:after="0" w:afterAutospacing="0" w:line="360" w:lineRule="auto"/>
        <w:ind w:firstLineChars="2350" w:firstLine="5640"/>
        <w:rPr>
          <w:rFonts w:asciiTheme="minorEastAsia" w:eastAsiaTheme="minorEastAsia" w:hAnsiTheme="minorEastAsia"/>
        </w:rPr>
      </w:pPr>
      <w:proofErr w:type="gramStart"/>
      <w:r w:rsidRPr="00653DF4">
        <w:rPr>
          <w:rFonts w:asciiTheme="minorEastAsia" w:eastAsiaTheme="minorEastAsia" w:hAnsiTheme="minorEastAsia" w:hint="eastAsia"/>
        </w:rPr>
        <w:t>祥祺</w:t>
      </w:r>
      <w:proofErr w:type="gramEnd"/>
      <w:r w:rsidR="00265ED6" w:rsidRPr="00653DF4">
        <w:rPr>
          <w:rFonts w:asciiTheme="minorEastAsia" w:eastAsiaTheme="minorEastAsia" w:hAnsiTheme="minorEastAsia" w:hint="eastAsia"/>
        </w:rPr>
        <w:t>集团成本中心</w:t>
      </w:r>
      <w:proofErr w:type="gramStart"/>
      <w:r w:rsidR="00265ED6" w:rsidRPr="00653DF4">
        <w:rPr>
          <w:rFonts w:asciiTheme="minorEastAsia" w:eastAsiaTheme="minorEastAsia" w:hAnsiTheme="minorEastAsia" w:hint="eastAsia"/>
        </w:rPr>
        <w:t>招采部</w:t>
      </w:r>
      <w:proofErr w:type="gramEnd"/>
    </w:p>
    <w:p w:rsidR="0056058F" w:rsidRDefault="001D1719" w:rsidP="0056058F">
      <w:pPr>
        <w:pStyle w:val="a9"/>
        <w:spacing w:before="0" w:beforeAutospacing="0" w:after="0" w:afterAutospacing="0" w:line="360" w:lineRule="auto"/>
        <w:ind w:firstLineChars="2450" w:firstLine="5880"/>
        <w:rPr>
          <w:rFonts w:asciiTheme="minorEastAsia" w:eastAsiaTheme="minorEastAsia" w:hAnsiTheme="minorEastAsia" w:hint="eastAsia"/>
        </w:rPr>
      </w:pPr>
      <w:r w:rsidRPr="00653DF4">
        <w:rPr>
          <w:rFonts w:asciiTheme="minorEastAsia" w:eastAsiaTheme="minorEastAsia" w:hAnsiTheme="minorEastAsia" w:cs="Times New Roman"/>
        </w:rPr>
        <w:t>201</w:t>
      </w:r>
      <w:r w:rsidR="00F2698E" w:rsidRPr="00653DF4">
        <w:rPr>
          <w:rFonts w:asciiTheme="minorEastAsia" w:eastAsiaTheme="minorEastAsia" w:hAnsiTheme="minorEastAsia" w:cs="Times New Roman" w:hint="eastAsia"/>
        </w:rPr>
        <w:t>8</w:t>
      </w:r>
      <w:r w:rsidR="00265ED6" w:rsidRPr="00653DF4">
        <w:rPr>
          <w:rFonts w:asciiTheme="minorEastAsia" w:eastAsiaTheme="minorEastAsia" w:hAnsiTheme="minorEastAsia" w:hint="eastAsia"/>
        </w:rPr>
        <w:t>年</w:t>
      </w:r>
      <w:r w:rsidR="00D25413" w:rsidRPr="00653DF4">
        <w:rPr>
          <w:rFonts w:asciiTheme="minorEastAsia" w:eastAsiaTheme="minorEastAsia" w:hAnsiTheme="minorEastAsia" w:hint="eastAsia"/>
        </w:rPr>
        <w:t>11</w:t>
      </w:r>
      <w:r w:rsidR="00265ED6" w:rsidRPr="00653DF4">
        <w:rPr>
          <w:rFonts w:asciiTheme="minorEastAsia" w:eastAsiaTheme="minorEastAsia" w:hAnsiTheme="minorEastAsia" w:hint="eastAsia"/>
        </w:rPr>
        <w:t>月</w:t>
      </w:r>
      <w:r w:rsidR="00D25413" w:rsidRPr="00653DF4">
        <w:rPr>
          <w:rFonts w:asciiTheme="minorEastAsia" w:eastAsiaTheme="minorEastAsia" w:hAnsiTheme="minorEastAsia" w:hint="eastAsia"/>
        </w:rPr>
        <w:t>20</w:t>
      </w:r>
      <w:r w:rsidR="00265ED6" w:rsidRPr="00653DF4">
        <w:rPr>
          <w:rFonts w:asciiTheme="minorEastAsia" w:eastAsiaTheme="minorEastAsia" w:hAnsiTheme="minorEastAsia" w:hint="eastAsia"/>
        </w:rPr>
        <w:t>日</w:t>
      </w:r>
    </w:p>
    <w:p w:rsidR="0056058F" w:rsidRDefault="0056058F" w:rsidP="0056058F">
      <w:pPr>
        <w:pStyle w:val="a9"/>
        <w:spacing w:before="0" w:beforeAutospacing="0" w:after="0" w:afterAutospacing="0" w:line="360" w:lineRule="auto"/>
        <w:rPr>
          <w:rFonts w:asciiTheme="minorEastAsia" w:eastAsiaTheme="minorEastAsia" w:hAnsiTheme="minorEastAsia" w:hint="eastAsia"/>
        </w:rPr>
      </w:pPr>
      <w:r>
        <w:rPr>
          <w:rFonts w:asciiTheme="minorEastAsia" w:eastAsiaTheme="minorEastAsia" w:hAnsiTheme="minorEastAsia" w:hint="eastAsia"/>
        </w:rPr>
        <w:t>附件：</w:t>
      </w:r>
    </w:p>
    <w:p w:rsidR="002C515C" w:rsidRPr="0056058F" w:rsidRDefault="0056058F" w:rsidP="002C515C">
      <w:pPr>
        <w:pStyle w:val="a9"/>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noProof/>
        </w:rPr>
        <w:drawing>
          <wp:inline distT="0" distB="0" distL="0" distR="0">
            <wp:extent cx="5407741" cy="48209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拟改造效果图.jpg"/>
                    <pic:cNvPicPr/>
                  </pic:nvPicPr>
                  <pic:blipFill>
                    <a:blip r:embed="rId9">
                      <a:extLst>
                        <a:ext uri="{28A0092B-C50C-407E-A947-70E740481C1C}">
                          <a14:useLocalDpi xmlns:a14="http://schemas.microsoft.com/office/drawing/2010/main" val="0"/>
                        </a:ext>
                      </a:extLst>
                    </a:blip>
                    <a:stretch>
                      <a:fillRect/>
                    </a:stretch>
                  </pic:blipFill>
                  <pic:spPr>
                    <a:xfrm>
                      <a:off x="0" y="0"/>
                      <a:ext cx="5412166" cy="4824847"/>
                    </a:xfrm>
                    <a:prstGeom prst="rect">
                      <a:avLst/>
                    </a:prstGeom>
                  </pic:spPr>
                </pic:pic>
              </a:graphicData>
            </a:graphic>
          </wp:inline>
        </w:drawing>
      </w:r>
      <w:bookmarkStart w:id="0" w:name="_GoBack"/>
      <w:bookmarkEnd w:id="0"/>
    </w:p>
    <w:sectPr w:rsidR="002C515C" w:rsidRPr="0056058F" w:rsidSect="00210C10">
      <w:footerReference w:type="default" r:id="rId10"/>
      <w:pgSz w:w="11906" w:h="16838"/>
      <w:pgMar w:top="1361" w:right="1418" w:bottom="1191" w:left="1531" w:header="851" w:footer="1095"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2E" w:rsidRDefault="00424D2E">
      <w:r>
        <w:separator/>
      </w:r>
    </w:p>
  </w:endnote>
  <w:endnote w:type="continuationSeparator" w:id="0">
    <w:p w:rsidR="00424D2E" w:rsidRDefault="004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18030">
    <w:altName w:val="宋体"/>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02" w:rsidRDefault="00A01A9B">
    <w:pPr>
      <w:pStyle w:val="a6"/>
      <w:jc w:val="center"/>
    </w:pPr>
    <w:r>
      <w:fldChar w:fldCharType="begin"/>
    </w:r>
    <w:r w:rsidR="006C3DB7">
      <w:instrText>PAGE   \* MERGEFORMAT</w:instrText>
    </w:r>
    <w:r>
      <w:fldChar w:fldCharType="separate"/>
    </w:r>
    <w:r w:rsidR="00210C10">
      <w:rPr>
        <w:noProof/>
      </w:rPr>
      <w:t>2</w:t>
    </w:r>
    <w:r>
      <w:fldChar w:fldCharType="end"/>
    </w:r>
  </w:p>
  <w:p w:rsidR="00F60D02" w:rsidRDefault="00F60D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2E" w:rsidRDefault="00424D2E">
      <w:r>
        <w:separator/>
      </w:r>
    </w:p>
  </w:footnote>
  <w:footnote w:type="continuationSeparator" w:id="0">
    <w:p w:rsidR="00424D2E" w:rsidRDefault="004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2A0"/>
    <w:multiLevelType w:val="hybridMultilevel"/>
    <w:tmpl w:val="E608826E"/>
    <w:lvl w:ilvl="0" w:tplc="86DE7E4E">
      <w:start w:val="1"/>
      <w:numFmt w:val="japaneseCounting"/>
      <w:lvlText w:val="%1、"/>
      <w:lvlJc w:val="left"/>
      <w:pPr>
        <w:ind w:left="992" w:hanging="51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
    <w:nsid w:val="3B990C79"/>
    <w:multiLevelType w:val="hybridMultilevel"/>
    <w:tmpl w:val="F66E6790"/>
    <w:lvl w:ilvl="0" w:tplc="DF5093F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52C9428E"/>
    <w:multiLevelType w:val="hybridMultilevel"/>
    <w:tmpl w:val="23F48B20"/>
    <w:lvl w:ilvl="0" w:tplc="74F0ACA8">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82B099A"/>
    <w:multiLevelType w:val="singleLevel"/>
    <w:tmpl w:val="582B099A"/>
    <w:lvl w:ilvl="0">
      <w:start w:val="1"/>
      <w:numFmt w:val="chineseCounting"/>
      <w:suff w:val="nothing"/>
      <w:lvlText w:val="%1、"/>
      <w:lvlJc w:val="left"/>
    </w:lvl>
  </w:abstractNum>
  <w:abstractNum w:abstractNumId="4">
    <w:nsid w:val="58B42EBA"/>
    <w:multiLevelType w:val="multilevel"/>
    <w:tmpl w:val="58B42EBA"/>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6910513C"/>
    <w:multiLevelType w:val="multilevel"/>
    <w:tmpl w:val="6C36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60D02"/>
    <w:rsid w:val="00005717"/>
    <w:rsid w:val="00020244"/>
    <w:rsid w:val="0003695B"/>
    <w:rsid w:val="0005030A"/>
    <w:rsid w:val="0006267C"/>
    <w:rsid w:val="00087AEA"/>
    <w:rsid w:val="000B6417"/>
    <w:rsid w:val="000E340A"/>
    <w:rsid w:val="00103C75"/>
    <w:rsid w:val="00116399"/>
    <w:rsid w:val="00127DF8"/>
    <w:rsid w:val="0017320F"/>
    <w:rsid w:val="00182D83"/>
    <w:rsid w:val="001C5A94"/>
    <w:rsid w:val="001C7A4C"/>
    <w:rsid w:val="001D1719"/>
    <w:rsid w:val="00207FD2"/>
    <w:rsid w:val="00210C10"/>
    <w:rsid w:val="0021136A"/>
    <w:rsid w:val="00211719"/>
    <w:rsid w:val="00213DA6"/>
    <w:rsid w:val="00233DE2"/>
    <w:rsid w:val="00233E3B"/>
    <w:rsid w:val="00265ED6"/>
    <w:rsid w:val="0027317E"/>
    <w:rsid w:val="00280D45"/>
    <w:rsid w:val="002C515C"/>
    <w:rsid w:val="00305E4F"/>
    <w:rsid w:val="00315F21"/>
    <w:rsid w:val="00327808"/>
    <w:rsid w:val="0033293D"/>
    <w:rsid w:val="00342342"/>
    <w:rsid w:val="00362D5C"/>
    <w:rsid w:val="00372F4D"/>
    <w:rsid w:val="00382A45"/>
    <w:rsid w:val="00393531"/>
    <w:rsid w:val="003A164A"/>
    <w:rsid w:val="003A6A0F"/>
    <w:rsid w:val="004071E9"/>
    <w:rsid w:val="00424D2E"/>
    <w:rsid w:val="00445003"/>
    <w:rsid w:val="004535FC"/>
    <w:rsid w:val="00472860"/>
    <w:rsid w:val="0049681C"/>
    <w:rsid w:val="004C7B15"/>
    <w:rsid w:val="004D55B8"/>
    <w:rsid w:val="00516FBC"/>
    <w:rsid w:val="00532054"/>
    <w:rsid w:val="00557A65"/>
    <w:rsid w:val="0056058F"/>
    <w:rsid w:val="005C0A6A"/>
    <w:rsid w:val="0060595A"/>
    <w:rsid w:val="00634225"/>
    <w:rsid w:val="00652EA6"/>
    <w:rsid w:val="00653DF4"/>
    <w:rsid w:val="00663034"/>
    <w:rsid w:val="00665E98"/>
    <w:rsid w:val="00666A1F"/>
    <w:rsid w:val="00686F95"/>
    <w:rsid w:val="006A7136"/>
    <w:rsid w:val="006C1E10"/>
    <w:rsid w:val="006C3DB7"/>
    <w:rsid w:val="006D324D"/>
    <w:rsid w:val="006D7520"/>
    <w:rsid w:val="007021F1"/>
    <w:rsid w:val="00721195"/>
    <w:rsid w:val="0072162A"/>
    <w:rsid w:val="0074005D"/>
    <w:rsid w:val="00753F0C"/>
    <w:rsid w:val="007B3F0A"/>
    <w:rsid w:val="007C0638"/>
    <w:rsid w:val="007D1585"/>
    <w:rsid w:val="00800FE7"/>
    <w:rsid w:val="00827562"/>
    <w:rsid w:val="008454F6"/>
    <w:rsid w:val="008633EA"/>
    <w:rsid w:val="00863A71"/>
    <w:rsid w:val="00882285"/>
    <w:rsid w:val="00886A78"/>
    <w:rsid w:val="00893DF8"/>
    <w:rsid w:val="008A4E75"/>
    <w:rsid w:val="008B6259"/>
    <w:rsid w:val="008C640E"/>
    <w:rsid w:val="008F6F09"/>
    <w:rsid w:val="0090180C"/>
    <w:rsid w:val="00925D72"/>
    <w:rsid w:val="0095209C"/>
    <w:rsid w:val="00963832"/>
    <w:rsid w:val="009814B1"/>
    <w:rsid w:val="009A002E"/>
    <w:rsid w:val="009A7DCD"/>
    <w:rsid w:val="009D73B7"/>
    <w:rsid w:val="00A01A9B"/>
    <w:rsid w:val="00A41AB4"/>
    <w:rsid w:val="00AA1B0A"/>
    <w:rsid w:val="00AD1308"/>
    <w:rsid w:val="00AF0814"/>
    <w:rsid w:val="00C05F3A"/>
    <w:rsid w:val="00C17ABE"/>
    <w:rsid w:val="00C520A4"/>
    <w:rsid w:val="00C521A6"/>
    <w:rsid w:val="00CA3E9D"/>
    <w:rsid w:val="00CB03DA"/>
    <w:rsid w:val="00CD176B"/>
    <w:rsid w:val="00CF2997"/>
    <w:rsid w:val="00D1089B"/>
    <w:rsid w:val="00D25413"/>
    <w:rsid w:val="00D267C2"/>
    <w:rsid w:val="00D52D50"/>
    <w:rsid w:val="00D5424D"/>
    <w:rsid w:val="00D6780D"/>
    <w:rsid w:val="00D905EA"/>
    <w:rsid w:val="00DD5573"/>
    <w:rsid w:val="00DD7FF5"/>
    <w:rsid w:val="00DE75AB"/>
    <w:rsid w:val="00E060D5"/>
    <w:rsid w:val="00E12716"/>
    <w:rsid w:val="00E445C2"/>
    <w:rsid w:val="00E95DFC"/>
    <w:rsid w:val="00F2698E"/>
    <w:rsid w:val="00F44203"/>
    <w:rsid w:val="00F4579A"/>
    <w:rsid w:val="00F60D02"/>
    <w:rsid w:val="00F66679"/>
    <w:rsid w:val="00F95821"/>
    <w:rsid w:val="1CD91B6A"/>
    <w:rsid w:val="256771DE"/>
    <w:rsid w:val="26315316"/>
    <w:rsid w:val="3AAF15B0"/>
    <w:rsid w:val="3BC4491A"/>
    <w:rsid w:val="3D287398"/>
    <w:rsid w:val="521253F5"/>
    <w:rsid w:val="5CCD1029"/>
    <w:rsid w:val="60065664"/>
    <w:rsid w:val="71732684"/>
    <w:rsid w:val="7D5C1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semiHidden="0"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A6"/>
    <w:pPr>
      <w:widowControl w:val="0"/>
      <w:jc w:val="both"/>
    </w:pPr>
    <w:rPr>
      <w:rFonts w:ascii="Calibri" w:hAnsi="Calibri"/>
      <w:kern w:val="2"/>
      <w:sz w:val="21"/>
      <w:szCs w:val="22"/>
    </w:rPr>
  </w:style>
  <w:style w:type="paragraph" w:styleId="1">
    <w:name w:val="heading 1"/>
    <w:basedOn w:val="a"/>
    <w:link w:val="1Char"/>
    <w:uiPriority w:val="9"/>
    <w:qFormat/>
    <w:rsid w:val="00F6667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52EA6"/>
    <w:rPr>
      <w:b/>
      <w:bCs/>
    </w:rPr>
  </w:style>
  <w:style w:type="paragraph" w:styleId="a4">
    <w:name w:val="annotation text"/>
    <w:basedOn w:val="a"/>
    <w:link w:val="Char0"/>
    <w:uiPriority w:val="99"/>
    <w:unhideWhenUsed/>
    <w:qFormat/>
    <w:rsid w:val="00652EA6"/>
    <w:pPr>
      <w:jc w:val="left"/>
    </w:pPr>
  </w:style>
  <w:style w:type="paragraph" w:styleId="a5">
    <w:name w:val="Balloon Text"/>
    <w:basedOn w:val="a"/>
    <w:link w:val="Char1"/>
    <w:uiPriority w:val="99"/>
    <w:unhideWhenUsed/>
    <w:qFormat/>
    <w:rsid w:val="00652EA6"/>
    <w:rPr>
      <w:sz w:val="18"/>
      <w:szCs w:val="18"/>
    </w:rPr>
  </w:style>
  <w:style w:type="paragraph" w:styleId="a6">
    <w:name w:val="footer"/>
    <w:basedOn w:val="a"/>
    <w:link w:val="Char2"/>
    <w:uiPriority w:val="99"/>
    <w:unhideWhenUsed/>
    <w:qFormat/>
    <w:rsid w:val="00652EA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52EA6"/>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sid w:val="00652EA6"/>
    <w:rPr>
      <w:sz w:val="21"/>
      <w:szCs w:val="21"/>
    </w:rPr>
  </w:style>
  <w:style w:type="paragraph" w:customStyle="1" w:styleId="10">
    <w:name w:val="修订1"/>
    <w:uiPriority w:val="99"/>
    <w:unhideWhenUsed/>
    <w:qFormat/>
    <w:rsid w:val="00652EA6"/>
    <w:rPr>
      <w:rFonts w:ascii="Calibri" w:hAnsi="Calibri"/>
      <w:kern w:val="2"/>
      <w:sz w:val="21"/>
      <w:szCs w:val="22"/>
    </w:rPr>
  </w:style>
  <w:style w:type="character" w:customStyle="1" w:styleId="Char1">
    <w:name w:val="批注框文本 Char"/>
    <w:link w:val="a5"/>
    <w:uiPriority w:val="99"/>
    <w:semiHidden/>
    <w:qFormat/>
    <w:rsid w:val="00652EA6"/>
    <w:rPr>
      <w:sz w:val="18"/>
      <w:szCs w:val="18"/>
    </w:rPr>
  </w:style>
  <w:style w:type="character" w:customStyle="1" w:styleId="Char3">
    <w:name w:val="页眉 Char"/>
    <w:link w:val="a7"/>
    <w:uiPriority w:val="99"/>
    <w:qFormat/>
    <w:rsid w:val="00652EA6"/>
    <w:rPr>
      <w:sz w:val="18"/>
      <w:szCs w:val="18"/>
    </w:rPr>
  </w:style>
  <w:style w:type="character" w:customStyle="1" w:styleId="Char0">
    <w:name w:val="批注文字 Char"/>
    <w:basedOn w:val="a0"/>
    <w:link w:val="a4"/>
    <w:uiPriority w:val="99"/>
    <w:semiHidden/>
    <w:qFormat/>
    <w:rsid w:val="00652EA6"/>
  </w:style>
  <w:style w:type="character" w:customStyle="1" w:styleId="Char2">
    <w:name w:val="页脚 Char"/>
    <w:link w:val="a6"/>
    <w:uiPriority w:val="99"/>
    <w:qFormat/>
    <w:rsid w:val="00652EA6"/>
    <w:rPr>
      <w:sz w:val="18"/>
      <w:szCs w:val="18"/>
    </w:rPr>
  </w:style>
  <w:style w:type="character" w:customStyle="1" w:styleId="Char">
    <w:name w:val="批注主题 Char"/>
    <w:link w:val="a3"/>
    <w:uiPriority w:val="99"/>
    <w:semiHidden/>
    <w:qFormat/>
    <w:rsid w:val="00652EA6"/>
    <w:rPr>
      <w:b/>
      <w:bCs/>
    </w:rPr>
  </w:style>
  <w:style w:type="character" w:customStyle="1" w:styleId="1Char">
    <w:name w:val="标题 1 Char"/>
    <w:link w:val="1"/>
    <w:uiPriority w:val="9"/>
    <w:rsid w:val="00F66679"/>
    <w:rPr>
      <w:rFonts w:ascii="宋体" w:hAnsi="宋体" w:cs="宋体"/>
      <w:b/>
      <w:bCs/>
      <w:kern w:val="36"/>
      <w:sz w:val="48"/>
      <w:szCs w:val="48"/>
    </w:rPr>
  </w:style>
  <w:style w:type="paragraph" w:styleId="a9">
    <w:name w:val="Normal (Web)"/>
    <w:basedOn w:val="a"/>
    <w:uiPriority w:val="99"/>
    <w:unhideWhenUsed/>
    <w:rsid w:val="00F66679"/>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74005D"/>
    <w:rPr>
      <w:color w:val="0000FF"/>
      <w:u w:val="single"/>
    </w:rPr>
  </w:style>
  <w:style w:type="character" w:styleId="ab">
    <w:name w:val="Strong"/>
    <w:uiPriority w:val="22"/>
    <w:qFormat/>
    <w:rsid w:val="00265ED6"/>
    <w:rPr>
      <w:b/>
      <w:bCs/>
    </w:rPr>
  </w:style>
  <w:style w:type="paragraph" w:styleId="ac">
    <w:name w:val="Date"/>
    <w:basedOn w:val="a"/>
    <w:next w:val="a"/>
    <w:link w:val="Char4"/>
    <w:semiHidden/>
    <w:unhideWhenUsed/>
    <w:rsid w:val="002C515C"/>
    <w:pPr>
      <w:ind w:leftChars="2500" w:left="100"/>
    </w:pPr>
  </w:style>
  <w:style w:type="character" w:customStyle="1" w:styleId="Char4">
    <w:name w:val="日期 Char"/>
    <w:basedOn w:val="a0"/>
    <w:link w:val="ac"/>
    <w:semiHidden/>
    <w:rsid w:val="002C515C"/>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9441">
      <w:bodyDiv w:val="1"/>
      <w:marLeft w:val="0"/>
      <w:marRight w:val="0"/>
      <w:marTop w:val="0"/>
      <w:marBottom w:val="0"/>
      <w:divBdr>
        <w:top w:val="none" w:sz="0" w:space="0" w:color="auto"/>
        <w:left w:val="none" w:sz="0" w:space="0" w:color="auto"/>
        <w:bottom w:val="none" w:sz="0" w:space="0" w:color="auto"/>
        <w:right w:val="none" w:sz="0" w:space="0" w:color="auto"/>
      </w:divBdr>
    </w:div>
    <w:div w:id="312877528">
      <w:bodyDiv w:val="1"/>
      <w:marLeft w:val="0"/>
      <w:marRight w:val="0"/>
      <w:marTop w:val="0"/>
      <w:marBottom w:val="0"/>
      <w:divBdr>
        <w:top w:val="none" w:sz="0" w:space="0" w:color="auto"/>
        <w:left w:val="none" w:sz="0" w:space="0" w:color="auto"/>
        <w:bottom w:val="none" w:sz="0" w:space="0" w:color="auto"/>
        <w:right w:val="none" w:sz="0" w:space="0" w:color="auto"/>
      </w:divBdr>
    </w:div>
    <w:div w:id="415437773">
      <w:bodyDiv w:val="1"/>
      <w:marLeft w:val="0"/>
      <w:marRight w:val="0"/>
      <w:marTop w:val="0"/>
      <w:marBottom w:val="0"/>
      <w:divBdr>
        <w:top w:val="none" w:sz="0" w:space="0" w:color="auto"/>
        <w:left w:val="none" w:sz="0" w:space="0" w:color="auto"/>
        <w:bottom w:val="none" w:sz="0" w:space="0" w:color="auto"/>
        <w:right w:val="none" w:sz="0" w:space="0" w:color="auto"/>
      </w:divBdr>
    </w:div>
    <w:div w:id="609702085">
      <w:bodyDiv w:val="1"/>
      <w:marLeft w:val="0"/>
      <w:marRight w:val="0"/>
      <w:marTop w:val="0"/>
      <w:marBottom w:val="0"/>
      <w:divBdr>
        <w:top w:val="none" w:sz="0" w:space="0" w:color="auto"/>
        <w:left w:val="none" w:sz="0" w:space="0" w:color="auto"/>
        <w:bottom w:val="none" w:sz="0" w:space="0" w:color="auto"/>
        <w:right w:val="none" w:sz="0" w:space="0" w:color="auto"/>
      </w:divBdr>
    </w:div>
    <w:div w:id="919291253">
      <w:bodyDiv w:val="1"/>
      <w:marLeft w:val="0"/>
      <w:marRight w:val="0"/>
      <w:marTop w:val="0"/>
      <w:marBottom w:val="0"/>
      <w:divBdr>
        <w:top w:val="none" w:sz="0" w:space="0" w:color="auto"/>
        <w:left w:val="none" w:sz="0" w:space="0" w:color="auto"/>
        <w:bottom w:val="none" w:sz="0" w:space="0" w:color="auto"/>
        <w:right w:val="none" w:sz="0" w:space="0" w:color="auto"/>
      </w:divBdr>
      <w:divsChild>
        <w:div w:id="347945099">
          <w:marLeft w:val="0"/>
          <w:marRight w:val="0"/>
          <w:marTop w:val="0"/>
          <w:marBottom w:val="0"/>
          <w:divBdr>
            <w:top w:val="none" w:sz="0" w:space="0" w:color="auto"/>
            <w:left w:val="none" w:sz="0" w:space="0" w:color="auto"/>
            <w:bottom w:val="none" w:sz="0" w:space="0" w:color="auto"/>
            <w:right w:val="none" w:sz="0" w:space="0" w:color="auto"/>
          </w:divBdr>
          <w:divsChild>
            <w:div w:id="15670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027">
      <w:bodyDiv w:val="1"/>
      <w:marLeft w:val="0"/>
      <w:marRight w:val="0"/>
      <w:marTop w:val="0"/>
      <w:marBottom w:val="0"/>
      <w:divBdr>
        <w:top w:val="none" w:sz="0" w:space="0" w:color="auto"/>
        <w:left w:val="none" w:sz="0" w:space="0" w:color="auto"/>
        <w:bottom w:val="none" w:sz="0" w:space="0" w:color="auto"/>
        <w:right w:val="none" w:sz="0" w:space="0" w:color="auto"/>
      </w:divBdr>
      <w:divsChild>
        <w:div w:id="181820450">
          <w:marLeft w:val="450"/>
          <w:marRight w:val="0"/>
          <w:marTop w:val="0"/>
          <w:marBottom w:val="0"/>
          <w:divBdr>
            <w:top w:val="none" w:sz="0" w:space="0" w:color="auto"/>
            <w:left w:val="none" w:sz="0" w:space="0" w:color="auto"/>
            <w:bottom w:val="none" w:sz="0" w:space="0" w:color="auto"/>
            <w:right w:val="none" w:sz="0" w:space="0" w:color="auto"/>
          </w:divBdr>
        </w:div>
        <w:div w:id="919675984">
          <w:marLeft w:val="450"/>
          <w:marRight w:val="0"/>
          <w:marTop w:val="0"/>
          <w:marBottom w:val="0"/>
          <w:divBdr>
            <w:top w:val="none" w:sz="0" w:space="0" w:color="auto"/>
            <w:left w:val="none" w:sz="0" w:space="0" w:color="auto"/>
            <w:bottom w:val="none" w:sz="0" w:space="0" w:color="auto"/>
            <w:right w:val="none" w:sz="0" w:space="0" w:color="auto"/>
          </w:divBdr>
        </w:div>
        <w:div w:id="326329803">
          <w:marLeft w:val="450"/>
          <w:marRight w:val="0"/>
          <w:marTop w:val="0"/>
          <w:marBottom w:val="0"/>
          <w:divBdr>
            <w:top w:val="none" w:sz="0" w:space="0" w:color="auto"/>
            <w:left w:val="none" w:sz="0" w:space="0" w:color="auto"/>
            <w:bottom w:val="none" w:sz="0" w:space="0" w:color="auto"/>
            <w:right w:val="none" w:sz="0" w:space="0" w:color="auto"/>
          </w:divBdr>
        </w:div>
        <w:div w:id="935597347">
          <w:marLeft w:val="4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151</Words>
  <Characters>866</Characters>
  <Application>Microsoft Office Word</Application>
  <DocSecurity>0</DocSecurity>
  <Lines>7</Lines>
  <Paragraphs>2</Paragraphs>
  <ScaleCrop>false</ScaleCrop>
  <Company>Sky123.Org</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关于河源市广润投资有限公司的股权转让协议之补充协议一</dc:title>
  <dc:creator>李小飞</dc:creator>
  <cp:lastModifiedBy>望秋霞</cp:lastModifiedBy>
  <cp:revision>49</cp:revision>
  <cp:lastPrinted>2017-02-22T08:09:00Z</cp:lastPrinted>
  <dcterms:created xsi:type="dcterms:W3CDTF">2017-04-24T01:08:00Z</dcterms:created>
  <dcterms:modified xsi:type="dcterms:W3CDTF">2018-11-20T00:58:00Z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